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b/>
          <w:bCs/>
          <w:smallCaps/>
          <w:spacing w:val="5"/>
          <w:sz w:val="40"/>
          <w:szCs w:val="36"/>
        </w:rPr>
        <w:alias w:val="Título"/>
        <w:id w:val="14700071"/>
        <w:placeholder>
          <w:docPart w:val="DD9A9AC76ED84AB3A2FA628134492B6F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14:paraId="11793A5F" w14:textId="77777777" w:rsidR="0075227D" w:rsidRDefault="009A4BDB">
          <w:pPr>
            <w:pStyle w:val="SemEspaamento"/>
            <w:jc w:val="center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asciiTheme="majorHAnsi" w:eastAsiaTheme="majorEastAsia" w:hAnsiTheme="majorHAnsi" w:cstheme="majorBidi"/>
              <w:b/>
              <w:bCs/>
              <w:smallCaps/>
              <w:spacing w:val="5"/>
              <w:sz w:val="40"/>
              <w:szCs w:val="36"/>
            </w:rPr>
            <w:t>Câmara Municipal de Nordeste</w:t>
          </w:r>
        </w:p>
      </w:sdtContent>
    </w:sdt>
    <w:p w14:paraId="72C119F6" w14:textId="77777777" w:rsidR="0075227D" w:rsidRDefault="009A4BDB">
      <w:pPr>
        <w:pStyle w:val="SemEspaamento"/>
        <w:rPr>
          <w:rFonts w:asciiTheme="majorHAnsi" w:eastAsiaTheme="majorEastAsia" w:hAnsiTheme="majorHAnsi" w:cstheme="majorBidi"/>
          <w:sz w:val="72"/>
          <w:szCs w:val="72"/>
        </w:rPr>
      </w:pPr>
      <w:r>
        <w:rPr>
          <w:rFonts w:asciiTheme="majorHAnsi" w:eastAsiaTheme="majorEastAsia" w:hAnsiTheme="majorHAnsi" w:cstheme="majorBidi"/>
          <w:noProof/>
          <w:sz w:val="72"/>
          <w:szCs w:val="72"/>
          <w:lang w:eastAsia="pt-PT"/>
        </w:rPr>
        <w:drawing>
          <wp:anchor distT="0" distB="0" distL="114300" distR="114300" simplePos="0" relativeHeight="251660800" behindDoc="0" locked="0" layoutInCell="1" allowOverlap="1" wp14:anchorId="433E8158" wp14:editId="68526EDE">
            <wp:simplePos x="0" y="0"/>
            <wp:positionH relativeFrom="column">
              <wp:posOffset>249555</wp:posOffset>
            </wp:positionH>
            <wp:positionV relativeFrom="paragraph">
              <wp:posOffset>-553085</wp:posOffset>
            </wp:positionV>
            <wp:extent cx="712470" cy="800100"/>
            <wp:effectExtent l="1905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ordes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0DEF32" w14:textId="77777777" w:rsidR="0075227D" w:rsidRDefault="0075227D">
      <w:pPr>
        <w:pStyle w:val="SemEspaamento"/>
        <w:rPr>
          <w:rFonts w:asciiTheme="majorHAnsi" w:eastAsiaTheme="majorEastAsia" w:hAnsiTheme="majorHAnsi" w:cstheme="majorBidi"/>
          <w:sz w:val="72"/>
          <w:szCs w:val="72"/>
        </w:rPr>
      </w:pPr>
    </w:p>
    <w:p w14:paraId="329E42AE" w14:textId="7369E65F" w:rsidR="0075227D" w:rsidRDefault="00E460BA">
      <w:pPr>
        <w:pStyle w:val="SemEspaamento"/>
        <w:rPr>
          <w:rFonts w:asciiTheme="majorHAnsi" w:eastAsiaTheme="majorEastAsia" w:hAnsiTheme="majorHAnsi" w:cstheme="majorBidi"/>
          <w:sz w:val="72"/>
          <w:szCs w:val="72"/>
        </w:rPr>
      </w:pPr>
      <w:r>
        <w:rPr>
          <w:rFonts w:eastAsiaTheme="majorEastAsia" w:cstheme="majorBid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4FF4E216" wp14:editId="311E532E">
                <wp:simplePos x="0" y="0"/>
                <wp:positionH relativeFrom="page">
                  <wp:posOffset>-179705</wp:posOffset>
                </wp:positionH>
                <wp:positionV relativeFrom="topMargin">
                  <wp:posOffset>0</wp:posOffset>
                </wp:positionV>
                <wp:extent cx="7920355" cy="630555"/>
                <wp:effectExtent l="12065" t="9525" r="11430" b="7620"/>
                <wp:wrapNone/>
                <wp:docPr id="133623599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0355" cy="63055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0671F0F0" id="Rectangle 7" o:spid="_x0000_s1026" style="position:absolute;margin-left:-14.15pt;margin-top:0;width:623.65pt;height:49.65pt;z-index:251659776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" o:allowincell="f" fillcolor="#76923c [2406]" strokecolor="#76923c [2406]">
                <w10:wrap anchorx="page" anchory="margin"/>
              </v:rect>
            </w:pict>
          </mc:Fallback>
        </mc:AlternateContent>
      </w:r>
      <w:r>
        <w:rPr>
          <w:rFonts w:eastAsiaTheme="majorEastAsia" w:cstheme="majorBid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0924D06" wp14:editId="373B585E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22260" cy="629285"/>
                <wp:effectExtent l="10795" t="13970" r="10795" b="13970"/>
                <wp:wrapNone/>
                <wp:docPr id="166851777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2260" cy="629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67283656" id="Rectangle 6" o:spid="_x0000_s1026" style="position:absolute;margin-left:0;margin-top:0;width:623.8pt;height:49.55pt;z-index:25165670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" o:allowincell="f" fillcolor="#76923c [2406]" strokecolor="#76923c [2406]">
                <w10:wrap anchorx="page" anchory="page"/>
              </v:rect>
            </w:pict>
          </mc:Fallback>
        </mc:AlternateContent>
      </w:r>
      <w:r>
        <w:rPr>
          <w:rFonts w:eastAsiaTheme="majorEastAsia" w:cstheme="majorBid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7A1894B" wp14:editId="0B6F1C87">
                <wp:simplePos x="0" y="0"/>
                <wp:positionH relativeFrom="leftMargin">
                  <wp:align>center</wp:align>
                </wp:positionH>
                <wp:positionV relativeFrom="page">
                  <wp:align>center</wp:align>
                </wp:positionV>
                <wp:extent cx="90805" cy="11203940"/>
                <wp:effectExtent l="6350" t="8890" r="7620" b="7620"/>
                <wp:wrapNone/>
                <wp:docPr id="16917479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03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775FF485" id="Rectangle 9" o:spid="_x0000_s1026" style="position:absolute;margin-left:0;margin-top:0;width:7.15pt;height:882.2pt;z-index:251657728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" o:allowincell="f" fillcolor="white [3212]" strokecolor="#76923c [2406]">
                <w10:wrap anchorx="margin" anchory="page"/>
              </v:rect>
            </w:pict>
          </mc:Fallback>
        </mc:AlternateContent>
      </w:r>
      <w:r>
        <w:rPr>
          <w:rFonts w:eastAsiaTheme="majorEastAsia" w:cstheme="majorBid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5B1CB8DE" wp14:editId="7581522C">
                <wp:simplePos x="0" y="0"/>
                <wp:positionH relativeFrom="rightMargin">
                  <wp:align>center</wp:align>
                </wp:positionH>
                <wp:positionV relativeFrom="page">
                  <wp:align>center</wp:align>
                </wp:positionV>
                <wp:extent cx="90805" cy="11203940"/>
                <wp:effectExtent l="8890" t="8890" r="5080" b="7620"/>
                <wp:wrapNone/>
                <wp:docPr id="118099355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03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15740B65" id="Rectangle 8" o:spid="_x0000_s1026" style="position:absolute;margin-left:0;margin-top:0;width:7.15pt;height:882.2pt;z-index:25165875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" o:allowincell="f" fillcolor="white [3212]" strokecolor="#76923c [2406]">
                <w10:wrap anchorx="margin" anchory="page"/>
              </v:rect>
            </w:pict>
          </mc:Fallback>
        </mc:AlternateContent>
      </w:r>
    </w:p>
    <w:sdt>
      <w:sdtPr>
        <w:rPr>
          <w:rFonts w:eastAsiaTheme="majorEastAsia" w:cstheme="minorHAnsi"/>
          <w:sz w:val="40"/>
          <w:szCs w:val="40"/>
        </w:rPr>
        <w:alias w:val="Subtítulo"/>
        <w:id w:val="14700077"/>
        <w:placeholder>
          <w:docPart w:val="F8485EF82FFB48AFBC6EE43107DA1EDF"/>
        </w:placeholder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Content>
        <w:p w14:paraId="7C70EE3D" w14:textId="77777777" w:rsidR="0075227D" w:rsidRDefault="009A4BDB">
          <w:pPr>
            <w:pStyle w:val="SemEspaamento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  <w:r w:rsidRPr="002D2419">
            <w:rPr>
              <w:rFonts w:eastAsiaTheme="majorEastAsia" w:cstheme="minorHAnsi"/>
              <w:sz w:val="40"/>
              <w:szCs w:val="40"/>
            </w:rPr>
            <w:t>CADERNO DE ENCARGOS</w:t>
          </w:r>
        </w:p>
      </w:sdtContent>
    </w:sdt>
    <w:p w14:paraId="1370A2FB" w14:textId="77777777" w:rsidR="0075227D" w:rsidRDefault="0075227D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632944BC" w14:textId="77777777" w:rsidR="0075227D" w:rsidRDefault="0075227D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413EBA10" w14:textId="77777777" w:rsidR="0075227D" w:rsidRDefault="0075227D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1E74C285" w14:textId="77777777" w:rsidR="0075227D" w:rsidRDefault="0075227D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00571F78" w14:textId="77777777" w:rsidR="002D307E" w:rsidRDefault="002D307E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295EE615" w14:textId="77777777" w:rsidR="00897ABE" w:rsidRDefault="00897ABE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38AD82E8" w14:textId="77777777" w:rsidR="002D307E" w:rsidRDefault="002D307E">
      <w:pPr>
        <w:pStyle w:val="SemEspaamento"/>
        <w:rPr>
          <w:rFonts w:asciiTheme="majorHAnsi" w:eastAsiaTheme="majorEastAsia" w:hAnsiTheme="majorHAnsi" w:cstheme="majorBidi"/>
          <w:sz w:val="36"/>
          <w:szCs w:val="36"/>
        </w:rPr>
      </w:pPr>
    </w:p>
    <w:p w14:paraId="7383C6E2" w14:textId="77777777" w:rsidR="00AA317A" w:rsidRPr="00225ECF" w:rsidRDefault="00AA317A" w:rsidP="00AA317A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25ECF">
        <w:rPr>
          <w:rFonts w:asciiTheme="minorHAnsi" w:hAnsiTheme="minorHAnsi" w:cstheme="minorHAnsi"/>
          <w:b/>
          <w:bCs/>
          <w:sz w:val="24"/>
          <w:szCs w:val="24"/>
        </w:rPr>
        <w:t>ARREMATAÇÃO EM HASTA PÚBLICA DO DIREITO DE EXPLORAÇÃO DO QUIOSQUE INSTALADO NA RUA DR. JOÃO BOSCO MOTA AMARAL, VILA DO NORDESTE</w:t>
      </w:r>
    </w:p>
    <w:p w14:paraId="2171CCAE" w14:textId="77777777" w:rsidR="0075227D" w:rsidRDefault="0075227D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="Arial"/>
          <w:smallCaps/>
          <w:sz w:val="48"/>
          <w:szCs w:val="48"/>
        </w:rPr>
      </w:pPr>
    </w:p>
    <w:p w14:paraId="25C5FD5D" w14:textId="77777777" w:rsidR="002D307E" w:rsidRDefault="002D307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eastAsia="ar-SA"/>
        </w:rPr>
      </w:pPr>
      <w:bookmarkStart w:id="0" w:name="_Hlk136333546"/>
    </w:p>
    <w:p w14:paraId="37959D92" w14:textId="77777777" w:rsidR="002D307E" w:rsidRDefault="002D307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eastAsia="ar-SA"/>
        </w:rPr>
      </w:pPr>
    </w:p>
    <w:p w14:paraId="01CABA24" w14:textId="77777777" w:rsidR="002D307E" w:rsidRDefault="002D307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eastAsia="ar-SA"/>
        </w:rPr>
      </w:pPr>
    </w:p>
    <w:p w14:paraId="5953B139" w14:textId="77777777" w:rsidR="00897ABE" w:rsidRDefault="00897AB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eastAsia="ar-SA"/>
        </w:rPr>
      </w:pPr>
    </w:p>
    <w:p w14:paraId="7AC2AFBF" w14:textId="77777777" w:rsidR="002D307E" w:rsidRDefault="002D307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eastAsia="ar-SA"/>
        </w:rPr>
      </w:pPr>
    </w:p>
    <w:p w14:paraId="19DD33A4" w14:textId="2E1C8CA1" w:rsidR="0075227D" w:rsidRPr="00897ABE" w:rsidRDefault="009A4BDB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proofErr w:type="spellStart"/>
      <w:r w:rsidRPr="00897AB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PROC</w:t>
      </w:r>
      <w:r w:rsidR="002D307E" w:rsidRPr="00897AB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.º</w:t>
      </w:r>
      <w:proofErr w:type="spellEnd"/>
      <w:r w:rsidRPr="00897AB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 xml:space="preserve"> Nº </w:t>
      </w:r>
      <w:r w:rsidR="00AA317A" w:rsidRPr="00897AB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0</w:t>
      </w:r>
      <w:r w:rsidR="00E87D1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3</w:t>
      </w:r>
      <w:r w:rsidR="00AA317A" w:rsidRPr="00897AB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HP</w:t>
      </w:r>
      <w:r w:rsidRPr="00897AB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/202</w:t>
      </w:r>
      <w:r w:rsidR="00E87D1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ar-SA"/>
        </w:rPr>
        <w:t>6</w:t>
      </w:r>
    </w:p>
    <w:bookmarkEnd w:id="0"/>
    <w:p w14:paraId="5612DACA" w14:textId="77777777" w:rsidR="0075227D" w:rsidRDefault="0075227D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="Arial"/>
          <w:b/>
          <w:bCs/>
          <w:color w:val="000000"/>
          <w:sz w:val="48"/>
          <w:szCs w:val="48"/>
          <w:lang w:eastAsia="ar-SA"/>
        </w:rPr>
      </w:pPr>
    </w:p>
    <w:p w14:paraId="2C606AC6" w14:textId="77777777" w:rsidR="0075227D" w:rsidRDefault="009A4B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9ECFD48" w14:textId="77777777" w:rsidR="0075227D" w:rsidRPr="002D2419" w:rsidRDefault="009A4BDB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lastRenderedPageBreak/>
        <w:t>Cláusula 1.ª</w:t>
      </w:r>
    </w:p>
    <w:p w14:paraId="63BD7458" w14:textId="77777777" w:rsidR="0075227D" w:rsidRPr="002D2419" w:rsidRDefault="009A4BDB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  <w:t>Objeto</w:t>
      </w:r>
    </w:p>
    <w:p w14:paraId="76252EDB" w14:textId="77777777" w:rsidR="00AA317A" w:rsidRPr="002D2419" w:rsidRDefault="009A4BDB" w:rsidP="00AA317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eastAsia="Times New Roman" w:hAnsiTheme="minorHAnsi" w:cstheme="minorHAnsi"/>
          <w:sz w:val="24"/>
          <w:szCs w:val="24"/>
          <w:lang w:eastAsia="pt-PT"/>
        </w:rPr>
        <w:t>O presente caderno de encargos</w:t>
      </w:r>
      <w:r w:rsidR="00AA317A" w:rsidRPr="002D2419">
        <w:rPr>
          <w:rFonts w:asciiTheme="minorHAnsi" w:eastAsia="Times New Roman" w:hAnsiTheme="minorHAnsi" w:cstheme="minorHAnsi"/>
          <w:sz w:val="24"/>
          <w:szCs w:val="24"/>
          <w:lang w:eastAsia="pt-PT"/>
        </w:rPr>
        <w:t xml:space="preserve"> </w:t>
      </w:r>
      <w:r w:rsidR="00AA317A" w:rsidRPr="002D2419">
        <w:rPr>
          <w:rFonts w:asciiTheme="minorHAnsi" w:hAnsiTheme="minorHAnsi" w:cstheme="minorHAnsi"/>
          <w:sz w:val="24"/>
          <w:szCs w:val="24"/>
        </w:rPr>
        <w:t>tem por objeto a arrematação em</w:t>
      </w:r>
      <w:r w:rsidR="00AA317A" w:rsidRPr="002D241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A317A" w:rsidRPr="002D2419">
        <w:rPr>
          <w:rFonts w:asciiTheme="minorHAnsi" w:hAnsiTheme="minorHAnsi" w:cstheme="minorHAnsi"/>
          <w:sz w:val="24"/>
          <w:szCs w:val="24"/>
        </w:rPr>
        <w:t xml:space="preserve">Hasta Pública do Direito de Exploração do Quiosque que o Município possui instalado na Rua Dr. João Bosco Mota Amaral, Vila de Nordeste, </w:t>
      </w:r>
      <w:proofErr w:type="gramStart"/>
      <w:r w:rsidR="00AA317A" w:rsidRPr="002D2419">
        <w:rPr>
          <w:rFonts w:asciiTheme="minorHAnsi" w:hAnsiTheme="minorHAnsi" w:cstheme="minorHAnsi"/>
          <w:sz w:val="24"/>
          <w:szCs w:val="24"/>
        </w:rPr>
        <w:t>melhor</w:t>
      </w:r>
      <w:proofErr w:type="gramEnd"/>
      <w:r w:rsidR="00AA317A" w:rsidRPr="002D2419">
        <w:rPr>
          <w:rFonts w:asciiTheme="minorHAnsi" w:hAnsiTheme="minorHAnsi" w:cstheme="minorHAnsi"/>
          <w:sz w:val="24"/>
          <w:szCs w:val="24"/>
        </w:rPr>
        <w:t xml:space="preserve"> identificado e localizado na planta constante do </w:t>
      </w:r>
      <w:r w:rsidR="00AA317A" w:rsidRPr="00DC1073">
        <w:rPr>
          <w:rFonts w:asciiTheme="minorHAnsi" w:hAnsiTheme="minorHAnsi" w:cstheme="minorHAnsi"/>
          <w:b/>
          <w:bCs/>
          <w:sz w:val="24"/>
          <w:szCs w:val="24"/>
        </w:rPr>
        <w:t>Anexo I</w:t>
      </w:r>
      <w:r w:rsidR="00AA317A" w:rsidRPr="002D2419">
        <w:rPr>
          <w:rFonts w:asciiTheme="minorHAnsi" w:hAnsiTheme="minorHAnsi" w:cstheme="minorHAnsi"/>
          <w:sz w:val="24"/>
          <w:szCs w:val="24"/>
        </w:rPr>
        <w:t xml:space="preserve"> do Programa do Procedimento.</w:t>
      </w:r>
    </w:p>
    <w:p w14:paraId="0B836E10" w14:textId="77777777" w:rsidR="0075227D" w:rsidRPr="002D2419" w:rsidRDefault="009A4BDB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t>Cláusula 2.ª</w:t>
      </w:r>
    </w:p>
    <w:p w14:paraId="4C2221DF" w14:textId="77777777" w:rsidR="0075227D" w:rsidRPr="002D2419" w:rsidRDefault="00AA317A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  <w:t>Contrato</w:t>
      </w:r>
    </w:p>
    <w:p w14:paraId="547A3B7B" w14:textId="77777777" w:rsidR="00AA317A" w:rsidRPr="002D2419" w:rsidRDefault="00AA317A">
      <w:pPr>
        <w:pStyle w:val="NormalWeb"/>
        <w:numPr>
          <w:ilvl w:val="0"/>
          <w:numId w:val="2"/>
        </w:numPr>
        <w:spacing w:before="0" w:beforeAutospacing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contrato é composto pelo presente clausulado contratual e seus anexos.</w:t>
      </w:r>
    </w:p>
    <w:p w14:paraId="7048C4DB" w14:textId="77777777" w:rsidR="00AA317A" w:rsidRPr="002D2419" w:rsidRDefault="00AA317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contrato a celebrar integra ainda os seguintes elementos:</w:t>
      </w:r>
    </w:p>
    <w:p w14:paraId="32B50A55" w14:textId="77777777" w:rsidR="00AA317A" w:rsidRPr="002D2419" w:rsidRDefault="00AA317A">
      <w:pPr>
        <w:pStyle w:val="NormalWeb"/>
        <w:numPr>
          <w:ilvl w:val="1"/>
          <w:numId w:val="2"/>
        </w:numPr>
        <w:spacing w:before="0" w:beforeAutospacing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suprimento dos erros e omissões do Caderno de Encargos identificados pelos concorrentes, desde que esses erros e omissões tenham sido expressamente aceites pelo órgão competente para a decisão de contratar.</w:t>
      </w:r>
    </w:p>
    <w:p w14:paraId="665A339F" w14:textId="77777777" w:rsidR="00AA317A" w:rsidRPr="002D2419" w:rsidRDefault="00AA317A">
      <w:pPr>
        <w:pStyle w:val="NormalWeb"/>
        <w:numPr>
          <w:ilvl w:val="1"/>
          <w:numId w:val="2"/>
        </w:numPr>
        <w:spacing w:before="0" w:beforeAutospacing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Os esclarecimentos e as retificações relativos ao caderno de Encargos;</w:t>
      </w:r>
    </w:p>
    <w:p w14:paraId="2D7B4550" w14:textId="77777777" w:rsidR="00AA317A" w:rsidRPr="002D2419" w:rsidRDefault="00AA317A">
      <w:pPr>
        <w:pStyle w:val="NormalWeb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caderno de encargos;</w:t>
      </w:r>
    </w:p>
    <w:p w14:paraId="6D1ECCC6" w14:textId="77777777" w:rsidR="00AA317A" w:rsidRPr="002D2419" w:rsidRDefault="00AA317A">
      <w:pPr>
        <w:pStyle w:val="NormalWeb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A proposta adjudicada;</w:t>
      </w:r>
    </w:p>
    <w:p w14:paraId="51A2C968" w14:textId="77777777" w:rsidR="00AA317A" w:rsidRPr="002D2419" w:rsidRDefault="00AA317A">
      <w:pPr>
        <w:pStyle w:val="NormalWeb"/>
        <w:numPr>
          <w:ilvl w:val="1"/>
          <w:numId w:val="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Os esclarecimentos sobre a proposta adjudicada prestada pelo adjudicatário. </w:t>
      </w:r>
    </w:p>
    <w:p w14:paraId="6D156FD3" w14:textId="77777777" w:rsidR="00AA317A" w:rsidRPr="002D2419" w:rsidRDefault="00AA317A">
      <w:pPr>
        <w:pStyle w:val="NormalWeb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Em caso de divergência entre os documentos referidos no número anterior, a respetiva prevalência é determinada pela ordem pela qual aí são indicados.</w:t>
      </w:r>
    </w:p>
    <w:p w14:paraId="6A6FD1B5" w14:textId="77777777" w:rsidR="00AA317A" w:rsidRPr="002D2419" w:rsidRDefault="00AA317A">
      <w:pPr>
        <w:pStyle w:val="NormalWeb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Em caso de divergência entre os documentos referidos no n.º 2 e o clausulado do contrato e seus anexos, prevalecem os primeiros, salvo quanto aos ajustamentos propostos de acordo com o artigo 99.º do Código dos Contratos Públicos e aceites pelo adjudicatário nos termos do disposto no artigo 101.º desse mesmo diploma legal. (alíneas não aplicáveis se o contrato não for reduzido a escrito nos termos da alínea a) do nº 1 e nº 2 do artigo 95.º do CCP).</w:t>
      </w:r>
    </w:p>
    <w:p w14:paraId="2BF796AC" w14:textId="3C2DA75D" w:rsidR="0075227D" w:rsidRPr="002D2419" w:rsidRDefault="009A4BDB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t xml:space="preserve">Cláusula </w:t>
      </w:r>
      <w:r w:rsidR="00FC4F67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t>3</w:t>
      </w:r>
      <w:r w:rsidRPr="002D2419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t>.ª</w:t>
      </w:r>
    </w:p>
    <w:p w14:paraId="545C207F" w14:textId="77777777" w:rsidR="0075227D" w:rsidRPr="002D2419" w:rsidRDefault="00AA317A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  <w:t>Duração</w:t>
      </w:r>
    </w:p>
    <w:p w14:paraId="6D578412" w14:textId="77777777" w:rsidR="00AA317A" w:rsidRPr="002D2419" w:rsidRDefault="00AA317A" w:rsidP="00AA317A">
      <w:pPr>
        <w:tabs>
          <w:tab w:val="left" w:pos="-180"/>
          <w:tab w:val="left" w:pos="4200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prazo do contrato será de um ano, podendo ser renovado, mediante deliberação da Câmara Municipal, por períodos de igual duração, não podendo, porém, a duração total das renovações ultrapassar três anos.</w:t>
      </w:r>
    </w:p>
    <w:p w14:paraId="22AF7025" w14:textId="3604FD03" w:rsidR="00AA317A" w:rsidRPr="002D2419" w:rsidRDefault="00AA317A" w:rsidP="00AA317A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lastRenderedPageBreak/>
        <w:t>Cláusula</w:t>
      </w:r>
      <w:r w:rsidR="00FC4F67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t xml:space="preserve"> 4</w:t>
      </w:r>
      <w:r w:rsidRPr="002D2419">
        <w:rPr>
          <w:rFonts w:asciiTheme="minorHAnsi" w:eastAsia="Times New Roman" w:hAnsiTheme="minorHAnsi" w:cstheme="minorHAnsi"/>
          <w:b/>
          <w:sz w:val="24"/>
          <w:szCs w:val="24"/>
          <w:lang w:eastAsia="pt-PT"/>
        </w:rPr>
        <w:t>.ª</w:t>
      </w:r>
    </w:p>
    <w:p w14:paraId="3F6E0851" w14:textId="77777777" w:rsidR="00AA317A" w:rsidRPr="002D2419" w:rsidRDefault="00AA317A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</w:pPr>
      <w:r w:rsidRPr="002D2419">
        <w:rPr>
          <w:rFonts w:asciiTheme="minorHAnsi" w:eastAsia="Times New Roman" w:hAnsiTheme="minorHAnsi" w:cstheme="minorHAnsi"/>
          <w:b/>
          <w:bCs/>
          <w:sz w:val="24"/>
          <w:szCs w:val="24"/>
          <w:lang w:eastAsia="pt-PT"/>
        </w:rPr>
        <w:t>Obrigações do adjudicatário</w:t>
      </w:r>
    </w:p>
    <w:p w14:paraId="7B41F333" w14:textId="77777777" w:rsidR="00AA317A" w:rsidRPr="002D2419" w:rsidRDefault="00AA317A" w:rsidP="002D2419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2D2419">
        <w:rPr>
          <w:rFonts w:asciiTheme="minorHAnsi" w:eastAsiaTheme="minorHAnsi" w:hAnsiTheme="minorHAnsi" w:cstheme="minorHAnsi"/>
          <w:sz w:val="24"/>
          <w:szCs w:val="24"/>
        </w:rPr>
        <w:t>Constituem obrigações do adjudicatário:</w:t>
      </w:r>
    </w:p>
    <w:p w14:paraId="2C1BDB52" w14:textId="77777777" w:rsidR="00AA317A" w:rsidRPr="002D2419" w:rsidRDefault="00AA317A">
      <w:pPr>
        <w:pStyle w:val="PargrafodaLista"/>
        <w:numPr>
          <w:ilvl w:val="0"/>
          <w:numId w:val="5"/>
        </w:numPr>
        <w:suppressAutoHyphens/>
        <w:autoSpaceDE w:val="0"/>
        <w:autoSpaceDN w:val="0"/>
        <w:adjustRightInd w:val="0"/>
        <w:spacing w:after="240" w:line="36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2D2419">
        <w:rPr>
          <w:rFonts w:asciiTheme="minorHAnsi" w:eastAsiaTheme="minorHAnsi" w:hAnsiTheme="minorHAnsi" w:cstheme="minorHAnsi"/>
          <w:sz w:val="24"/>
          <w:szCs w:val="24"/>
        </w:rPr>
        <w:t>Ocupar o quiosque imediatamente após a adjudicação;</w:t>
      </w:r>
    </w:p>
    <w:p w14:paraId="43B9B2EE" w14:textId="77777777" w:rsidR="00AA317A" w:rsidRPr="002D2419" w:rsidRDefault="00AA317A">
      <w:pPr>
        <w:pStyle w:val="PargrafodaLista"/>
        <w:numPr>
          <w:ilvl w:val="0"/>
          <w:numId w:val="5"/>
        </w:numPr>
        <w:tabs>
          <w:tab w:val="left" w:pos="1162"/>
        </w:tabs>
        <w:suppressAutoHyphens/>
        <w:spacing w:after="160" w:line="360" w:lineRule="auto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Efetuar o pagamento da taxa pelo direito de ocupação, nos montantes estabelecidos da Tabela de Taxas e Outras Receitas deste Município;</w:t>
      </w:r>
    </w:p>
    <w:p w14:paraId="46121BA5" w14:textId="77777777" w:rsidR="00AA317A" w:rsidRPr="002D2419" w:rsidRDefault="00AA317A">
      <w:pPr>
        <w:pStyle w:val="PargrafodaLista"/>
        <w:numPr>
          <w:ilvl w:val="0"/>
          <w:numId w:val="5"/>
        </w:numPr>
        <w:tabs>
          <w:tab w:val="left" w:pos="1162"/>
        </w:tabs>
        <w:suppressAutoHyphens/>
        <w:spacing w:after="160" w:line="360" w:lineRule="auto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Manter o Quiosque em bom estado de conservação e higiene;</w:t>
      </w:r>
    </w:p>
    <w:p w14:paraId="3FBB51D9" w14:textId="331CD01E" w:rsidR="00AA317A" w:rsidRPr="002D2419" w:rsidRDefault="00AA317A">
      <w:pPr>
        <w:pStyle w:val="PargrafodaLista"/>
        <w:numPr>
          <w:ilvl w:val="0"/>
          <w:numId w:val="5"/>
        </w:numPr>
        <w:tabs>
          <w:tab w:val="left" w:pos="-180"/>
          <w:tab w:val="left" w:pos="4200"/>
        </w:tabs>
        <w:suppressAutoHyphens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Não utilizar o quiosque para fins diferentes daqueles que constarem da arrematação, que respeitará sempre um ou mais dos produtos referidos na </w:t>
      </w:r>
      <w:r w:rsidRPr="008D7B23">
        <w:rPr>
          <w:rFonts w:asciiTheme="minorHAnsi" w:hAnsiTheme="minorHAnsi" w:cstheme="minorHAnsi"/>
          <w:sz w:val="24"/>
          <w:szCs w:val="24"/>
        </w:rPr>
        <w:t>cláusula</w:t>
      </w:r>
      <w:r w:rsidR="00E460BA" w:rsidRPr="008D7B23">
        <w:rPr>
          <w:rFonts w:asciiTheme="minorHAnsi" w:hAnsiTheme="minorHAnsi" w:cstheme="minorHAnsi"/>
          <w:sz w:val="24"/>
          <w:szCs w:val="24"/>
        </w:rPr>
        <w:t xml:space="preserve"> 11.ª</w:t>
      </w:r>
      <w:r w:rsidRPr="002D2419">
        <w:rPr>
          <w:rFonts w:asciiTheme="minorHAnsi" w:hAnsiTheme="minorHAnsi" w:cstheme="minorHAnsi"/>
          <w:sz w:val="24"/>
          <w:szCs w:val="24"/>
        </w:rPr>
        <w:t xml:space="preserve"> do Programa do Procedimento;</w:t>
      </w:r>
    </w:p>
    <w:p w14:paraId="103FC18F" w14:textId="77777777" w:rsidR="00AA317A" w:rsidRDefault="00AA317A">
      <w:pPr>
        <w:pStyle w:val="PargrafodaLista"/>
        <w:numPr>
          <w:ilvl w:val="0"/>
          <w:numId w:val="5"/>
        </w:numPr>
        <w:tabs>
          <w:tab w:val="left" w:pos="-180"/>
          <w:tab w:val="left" w:pos="4200"/>
        </w:tabs>
        <w:suppressAutoHyphens/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Cumprir o horário de funcionamento estipulado e autorizado nos termos legais</w:t>
      </w:r>
      <w:r w:rsidR="009362F8">
        <w:rPr>
          <w:rFonts w:asciiTheme="minorHAnsi" w:hAnsiTheme="minorHAnsi" w:cstheme="minorHAnsi"/>
          <w:sz w:val="24"/>
          <w:szCs w:val="24"/>
        </w:rPr>
        <w:t>;</w:t>
      </w:r>
    </w:p>
    <w:p w14:paraId="78F1489D" w14:textId="34250C94" w:rsidR="009362F8" w:rsidRPr="008D7B23" w:rsidRDefault="009362F8">
      <w:pPr>
        <w:pStyle w:val="PargrafodaLista"/>
        <w:numPr>
          <w:ilvl w:val="0"/>
          <w:numId w:val="5"/>
        </w:numPr>
        <w:suppressAutoHyphens/>
        <w:autoSpaceDE w:val="0"/>
        <w:autoSpaceDN w:val="0"/>
        <w:adjustRightInd w:val="0"/>
        <w:spacing w:after="240" w:line="36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Assumir</w:t>
      </w:r>
      <w:r w:rsidRPr="002D2419">
        <w:rPr>
          <w:rFonts w:asciiTheme="minorHAnsi" w:eastAsiaTheme="minorHAnsi" w:hAnsiTheme="minorHAnsi" w:cstheme="minorHAnsi"/>
          <w:sz w:val="24"/>
          <w:szCs w:val="24"/>
        </w:rPr>
        <w:t xml:space="preserve"> as despesas com o consumo da água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r w:rsidRPr="002D2419">
        <w:rPr>
          <w:rFonts w:asciiTheme="minorHAnsi" w:eastAsiaTheme="minorHAnsi" w:hAnsiTheme="minorHAnsi" w:cstheme="minorHAnsi"/>
          <w:sz w:val="24"/>
          <w:szCs w:val="24"/>
        </w:rPr>
        <w:t>eletricidade, TV Cabo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r w:rsidRPr="008D7B23">
        <w:rPr>
          <w:rFonts w:asciiTheme="minorHAnsi" w:eastAsiaTheme="minorHAnsi" w:hAnsiTheme="minorHAnsi" w:cstheme="minorHAnsi"/>
          <w:sz w:val="24"/>
          <w:szCs w:val="24"/>
        </w:rPr>
        <w:t>internet e outr</w:t>
      </w:r>
      <w:r w:rsidR="00E460BA" w:rsidRPr="008D7B23">
        <w:rPr>
          <w:rFonts w:asciiTheme="minorHAnsi" w:eastAsiaTheme="minorHAnsi" w:hAnsiTheme="minorHAnsi" w:cstheme="minorHAnsi"/>
          <w:sz w:val="24"/>
          <w:szCs w:val="24"/>
        </w:rPr>
        <w:t>as que decorram da exploração do Quiosque</w:t>
      </w:r>
      <w:r w:rsidRPr="008D7B23">
        <w:rPr>
          <w:rFonts w:asciiTheme="minorHAnsi" w:eastAsiaTheme="minorHAnsi" w:hAnsiTheme="minorHAnsi" w:cstheme="minorHAnsi"/>
          <w:sz w:val="24"/>
          <w:szCs w:val="24"/>
        </w:rPr>
        <w:t>.</w:t>
      </w:r>
    </w:p>
    <w:p w14:paraId="5B7B9BAE" w14:textId="42519088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 xml:space="preserve">Cláusula 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30104ABD" w14:textId="77777777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Dever de Sigilo</w:t>
      </w:r>
    </w:p>
    <w:p w14:paraId="7C0FF70B" w14:textId="0C60585E" w:rsidR="001F04CC" w:rsidRPr="002D2419" w:rsidRDefault="001F04CC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adjudicatário deve guardar sigilo sobre toda a informação e documentação, técnica e não técnica, comercial ou outra, relativa à Câmara Municipal de Nordeste e seus utentes, de que possa ter conhecimento no âmbito da execução do contrato.</w:t>
      </w:r>
    </w:p>
    <w:p w14:paraId="0B855EA8" w14:textId="77777777" w:rsidR="001F04CC" w:rsidRPr="002D2419" w:rsidRDefault="001F04CC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A informação e documentação cobertas pelo dever de sigilo não podem ser transmitidas a terceiros, nem objeto de qualquer uso ou modo de aproveitamento que não o destinado direta e exclusivamente à execução do contrato.</w:t>
      </w:r>
    </w:p>
    <w:p w14:paraId="168CF7AD" w14:textId="77777777" w:rsidR="001F04CC" w:rsidRPr="002D2419" w:rsidRDefault="001F04CC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Exclui-se do dever de sigilo previsto a informação e a documentação que fossem comprovadamente do domínio público à data da respetiva obtenção pelo prestador de serviços ou que este seja legalmente obrigado a revelar, por força de lei, de processo judicial ou a pedido das entidades administrativas competentes. </w:t>
      </w:r>
    </w:p>
    <w:p w14:paraId="716F24F9" w14:textId="77777777" w:rsidR="00E460BA" w:rsidRDefault="00E460BA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9BACC0A" w14:textId="77777777" w:rsidR="00E460BA" w:rsidRDefault="00E460BA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415EEFF" w14:textId="77777777" w:rsidR="00E460BA" w:rsidRDefault="00E460BA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9065481" w14:textId="3E328B47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Cláusula 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42E4BC98" w14:textId="77777777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Prazo do dever de sigilo</w:t>
      </w:r>
    </w:p>
    <w:p w14:paraId="5C23E3FD" w14:textId="77777777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dever de sigilo mantém-se em vigor até ao termo do prazo de 2 anos a contar do cumprimento ou cessação, por qualquer causa, do contrato, sem prejuízo da sujeição subsequente a quaisquer deveres legais relativos, designadamente, à proteção de segredos comerciais ou da credibilidade, do prestígio ou da confiança devidos às pessoas coletivas.</w:t>
      </w:r>
    </w:p>
    <w:p w14:paraId="4BED8C05" w14:textId="3E107660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 xml:space="preserve">Cláusula 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732184F0" w14:textId="77777777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Incumprimento do Contrato e Penalidades Contratuais</w:t>
      </w:r>
    </w:p>
    <w:p w14:paraId="67F5E552" w14:textId="77777777" w:rsidR="001F04CC" w:rsidRPr="002D2419" w:rsidRDefault="001F04CC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Se o adjudicatário não cumprir de forma exata e pontual as obrigações contratuais por facto que lhe seja imputável, o adjudicante pode, a título sancionatório, resolver o contrato e aplicar as sanções previstas no contrato ou na lei.</w:t>
      </w:r>
    </w:p>
    <w:p w14:paraId="5F6B57A0" w14:textId="77777777" w:rsidR="001F04CC" w:rsidRPr="002D2419" w:rsidRDefault="001F04CC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Pelo incumprimento de obrigações emergentes do contrato, a entidade adjudicante pode exigir </w:t>
      </w:r>
      <w:r w:rsidR="009362F8">
        <w:rPr>
          <w:rFonts w:asciiTheme="minorHAnsi" w:hAnsiTheme="minorHAnsi" w:cstheme="minorHAnsi"/>
          <w:sz w:val="24"/>
          <w:szCs w:val="24"/>
        </w:rPr>
        <w:t>a</w:t>
      </w:r>
      <w:r w:rsidRPr="002D2419">
        <w:rPr>
          <w:rFonts w:asciiTheme="minorHAnsi" w:hAnsiTheme="minorHAnsi" w:cstheme="minorHAnsi"/>
          <w:sz w:val="24"/>
          <w:szCs w:val="24"/>
        </w:rPr>
        <w:t xml:space="preserve">o adjudicatário o pagamento de uma pena pecuniária, até 20% do respetivo preço contratual. </w:t>
      </w:r>
    </w:p>
    <w:p w14:paraId="340D70FD" w14:textId="330985DA" w:rsidR="001F04CC" w:rsidRPr="002D2419" w:rsidRDefault="001F04CC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A existência de penalidades não afasta o direito à resolução do contrato por parte da entidade adjudicante, pelo que, em caso de incumprimento grave do </w:t>
      </w:r>
      <w:r w:rsidR="00E460BA">
        <w:rPr>
          <w:rFonts w:asciiTheme="minorHAnsi" w:hAnsiTheme="minorHAnsi" w:cstheme="minorHAnsi"/>
          <w:sz w:val="24"/>
          <w:szCs w:val="24"/>
        </w:rPr>
        <w:t>adjudicatário</w:t>
      </w:r>
      <w:r w:rsidRPr="002D2419">
        <w:rPr>
          <w:rFonts w:asciiTheme="minorHAnsi" w:hAnsiTheme="minorHAnsi" w:cstheme="minorHAnsi"/>
          <w:sz w:val="24"/>
          <w:szCs w:val="24"/>
        </w:rPr>
        <w:t>, aquela pode optar pela resolução do contrato.</w:t>
      </w:r>
    </w:p>
    <w:p w14:paraId="02B467EA" w14:textId="6A47D96D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 xml:space="preserve">Cláusula 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5E0332DB" w14:textId="77777777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Força Maior</w:t>
      </w:r>
    </w:p>
    <w:p w14:paraId="3BC2D3E7" w14:textId="0F60CF72" w:rsidR="001F04CC" w:rsidRPr="002D2419" w:rsidRDefault="001F04CC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Não podem ser impostas penalidades ao prestador de serviços, nem é havida como incumprimento, a não realização pontual das prestações contratuais a cargo de qualquer das partes que resulte como consequência de situações de força maior, entendendo-se como tal as circunstâncias que impossibilitem a respetiva realização, alheias à vontade da parte afetada, que ela não pudesse conhecer ou prever à data da celebração </w:t>
      </w:r>
      <w:r w:rsidR="00E460BA">
        <w:rPr>
          <w:rFonts w:asciiTheme="minorHAnsi" w:hAnsiTheme="minorHAnsi" w:cstheme="minorHAnsi"/>
          <w:sz w:val="24"/>
          <w:szCs w:val="24"/>
        </w:rPr>
        <w:t>d</w:t>
      </w:r>
      <w:r w:rsidRPr="002D2419">
        <w:rPr>
          <w:rFonts w:asciiTheme="minorHAnsi" w:hAnsiTheme="minorHAnsi" w:cstheme="minorHAnsi"/>
          <w:sz w:val="24"/>
          <w:szCs w:val="24"/>
        </w:rPr>
        <w:t xml:space="preserve">o contrato e cujos efeitos não lhe fosse razoavelmente exigível contornar ou evitar. </w:t>
      </w:r>
    </w:p>
    <w:p w14:paraId="3C481551" w14:textId="5C63D88F" w:rsidR="001F04CC" w:rsidRPr="002D2419" w:rsidRDefault="001F04CC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Podem constituir força maior, se respeitarem os requisitos da alínea anterior, designadamente</w:t>
      </w:r>
      <w:r w:rsidR="00E460BA">
        <w:rPr>
          <w:rFonts w:asciiTheme="minorHAnsi" w:hAnsiTheme="minorHAnsi" w:cstheme="minorHAnsi"/>
          <w:sz w:val="24"/>
          <w:szCs w:val="24"/>
        </w:rPr>
        <w:t>:</w:t>
      </w:r>
      <w:r w:rsidRPr="002D2419">
        <w:rPr>
          <w:rFonts w:asciiTheme="minorHAnsi" w:hAnsiTheme="minorHAnsi" w:cstheme="minorHAnsi"/>
          <w:sz w:val="24"/>
          <w:szCs w:val="24"/>
        </w:rPr>
        <w:t xml:space="preserve"> sismos, inundações, incêndios, epidemias, sabotagens, greves, embargos </w:t>
      </w:r>
      <w:r w:rsidRPr="002D2419">
        <w:rPr>
          <w:rFonts w:asciiTheme="minorHAnsi" w:hAnsiTheme="minorHAnsi" w:cstheme="minorHAnsi"/>
          <w:sz w:val="24"/>
          <w:szCs w:val="24"/>
        </w:rPr>
        <w:lastRenderedPageBreak/>
        <w:t xml:space="preserve">ou bloqueios internacionais, atos de guerra ou terrorismo, motins e determinações governamentais ou administrativas injuntivas. </w:t>
      </w:r>
    </w:p>
    <w:p w14:paraId="34669A72" w14:textId="77777777" w:rsidR="001F04CC" w:rsidRPr="002D2419" w:rsidRDefault="001F04CC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Não constituem força maior, designadamente: </w:t>
      </w:r>
    </w:p>
    <w:p w14:paraId="5F3FCEF8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Circunstâncias que não constituam força maior para os subcontratados do prestador de serviços, na parte em que intervenham; </w:t>
      </w:r>
    </w:p>
    <w:p w14:paraId="2DF3EBD8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Greves ou conflitos laborais limitados às sociedades do prestador de serviços ou a grupos de sociedades dos seus subcontratados; </w:t>
      </w:r>
    </w:p>
    <w:p w14:paraId="01AB7897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Determinações governamentais, administrativas ou judiciais de natureza sancionatória ou outra, resultantes do incumprimento pelo prestador de serviços de deveres ou ónus que sobre ele recaiam; </w:t>
      </w:r>
    </w:p>
    <w:p w14:paraId="2A3DF865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Manifestações populares devidas ao incumprimento de normas legais pelo prestador de serviços; </w:t>
      </w:r>
    </w:p>
    <w:p w14:paraId="266F15BC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Incêndios ou inundações com origem nas instalações utilizadas pelo prestador de serviços cuja causa, propagação ou proporções se devam a culpa ou negligência sua ou a incumprimento das normas de segurança; </w:t>
      </w:r>
    </w:p>
    <w:p w14:paraId="0EA18C04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Avarias nos sistemas informáticos ou mecânicos do prestador de serviços não decorrentes de sabotagem; </w:t>
      </w:r>
    </w:p>
    <w:p w14:paraId="66852A33" w14:textId="77777777" w:rsidR="001F04CC" w:rsidRPr="002D2419" w:rsidRDefault="001F04CC">
      <w:pPr>
        <w:pStyle w:val="PargrafodaLista"/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Eventos que estejam ou devam estar cobertos por seguros. </w:t>
      </w:r>
    </w:p>
    <w:p w14:paraId="1DB0E1F0" w14:textId="77777777" w:rsidR="001F04CC" w:rsidRPr="002D2419" w:rsidRDefault="001F04CC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A ocorrência de circunstâncias suscetíveis de consubstanciar casos de força maior deve ser imediatamente comunicada à outra parte.</w:t>
      </w:r>
    </w:p>
    <w:p w14:paraId="25D86DE2" w14:textId="77777777" w:rsidR="001F04CC" w:rsidRPr="002D2419" w:rsidRDefault="001F04CC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A força maior determina a prorrogação dos prazos de cumprimento das obrigações contratuais afetadas pelo </w:t>
      </w:r>
      <w:proofErr w:type="gramStart"/>
      <w:r w:rsidRPr="002D2419">
        <w:rPr>
          <w:rFonts w:asciiTheme="minorHAnsi" w:hAnsiTheme="minorHAnsi" w:cstheme="minorHAnsi"/>
          <w:sz w:val="24"/>
          <w:szCs w:val="24"/>
        </w:rPr>
        <w:t>período de tempo</w:t>
      </w:r>
      <w:proofErr w:type="gramEnd"/>
      <w:r w:rsidRPr="002D2419">
        <w:rPr>
          <w:rFonts w:asciiTheme="minorHAnsi" w:hAnsiTheme="minorHAnsi" w:cstheme="minorHAnsi"/>
          <w:sz w:val="24"/>
          <w:szCs w:val="24"/>
        </w:rPr>
        <w:t xml:space="preserve"> comprovadamente correspondente ao impedimento resultante de força maior. </w:t>
      </w:r>
    </w:p>
    <w:p w14:paraId="7AFC4BB1" w14:textId="12444329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 xml:space="preserve">Cláusula 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3BF0C847" w14:textId="77777777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Resolução do contrato</w:t>
      </w:r>
    </w:p>
    <w:p w14:paraId="1F4012C1" w14:textId="0CAD8CB6" w:rsidR="001F04CC" w:rsidRPr="002D2419" w:rsidRDefault="001F04CC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direito à resolução do contrato poderá ser exercido pela entidade adjudicante e pelo adjudicatário nos termos do disposto nos artigos 332.º a 33</w:t>
      </w:r>
      <w:r w:rsidR="00EB6AA8">
        <w:rPr>
          <w:rFonts w:asciiTheme="minorHAnsi" w:hAnsiTheme="minorHAnsi" w:cstheme="minorHAnsi"/>
          <w:sz w:val="24"/>
          <w:szCs w:val="24"/>
        </w:rPr>
        <w:t>5</w:t>
      </w:r>
      <w:r w:rsidRPr="002D2419">
        <w:rPr>
          <w:rFonts w:asciiTheme="minorHAnsi" w:hAnsiTheme="minorHAnsi" w:cstheme="minorHAnsi"/>
          <w:sz w:val="24"/>
          <w:szCs w:val="24"/>
        </w:rPr>
        <w:t>.º do Código dos Contratos Públicos.</w:t>
      </w:r>
    </w:p>
    <w:p w14:paraId="781C2A1C" w14:textId="77777777" w:rsidR="001F04CC" w:rsidRPr="002D2419" w:rsidRDefault="001F04CC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A entidade adjudicante poderá resolver o contrato sempre que, por razões imputáveis ao adjudicatário, não seja assegurado o normal funcionamento da exploração do quiosque. </w:t>
      </w:r>
    </w:p>
    <w:p w14:paraId="6B88769F" w14:textId="77777777" w:rsidR="001F04CC" w:rsidRPr="002D2419" w:rsidRDefault="001F04CC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lastRenderedPageBreak/>
        <w:t>Sem prejuízo de outras situações de grave violação das obrigações assumidas pelo adjudicatário previstas no contrato, a entidade adjudicante pode resolver o contrato a título sancionatório nos seguintes casos:</w:t>
      </w:r>
    </w:p>
    <w:p w14:paraId="6D3B94BD" w14:textId="77777777" w:rsidR="001F04CC" w:rsidRPr="002D2419" w:rsidRDefault="001F04CC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Incumprimento definitivo por facto imputável ao adjudicatário;</w:t>
      </w:r>
    </w:p>
    <w:p w14:paraId="21C614EB" w14:textId="77777777" w:rsidR="001F04CC" w:rsidRPr="002D2419" w:rsidRDefault="001F04CC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Incumprimento, por parte do adjudicatário, das obrigações de pagamento nos termos acordados.</w:t>
      </w:r>
    </w:p>
    <w:p w14:paraId="471D3165" w14:textId="77777777" w:rsidR="001F04CC" w:rsidRPr="002D2419" w:rsidRDefault="001F04CC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A resolução do contrato produz efeitos a partir da data fixada na respetiva notificação. </w:t>
      </w:r>
    </w:p>
    <w:p w14:paraId="45FCC81B" w14:textId="77777777" w:rsidR="001F04CC" w:rsidRPr="002D2419" w:rsidRDefault="001F04CC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 direito à resolução do contrato poderá ser exercido pela entidade adjudicante e pelo adjudicatário nos termos do presente Caderno de encargos.</w:t>
      </w:r>
    </w:p>
    <w:p w14:paraId="0D959A8A" w14:textId="77777777" w:rsidR="001F04CC" w:rsidRPr="002D2419" w:rsidRDefault="001F04CC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A cessação dos efeitos do contrato não prejudica o exercício de responsabilidade civil ou criminal por atos ocorridos durante a execução do contrato. </w:t>
      </w:r>
    </w:p>
    <w:p w14:paraId="3F5654BC" w14:textId="77C93C44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 xml:space="preserve">Cláusula 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6DFD7767" w14:textId="77777777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Foro competente</w:t>
      </w:r>
    </w:p>
    <w:p w14:paraId="2FDA92B8" w14:textId="77777777" w:rsidR="001F04CC" w:rsidRPr="002D2419" w:rsidRDefault="001F04CC" w:rsidP="001F04CC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Para a resolução de todos os litígios decorrentes do contrato, fica estipulada a competência do Tribunal Administrativo da Comarca dos Açores.</w:t>
      </w:r>
    </w:p>
    <w:p w14:paraId="6F3B70B0" w14:textId="456FC8F5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Cláusula 1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565EF397" w14:textId="77777777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Comunicações e notificações</w:t>
      </w:r>
    </w:p>
    <w:p w14:paraId="13B3D82D" w14:textId="77777777" w:rsidR="001F04CC" w:rsidRPr="002D2419" w:rsidRDefault="001F04CC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Sem prejuízo de poderem ser acordadas outras regras quanto às notificações e comunicações entre as partes do contrato, estas devem ser dirigidas, nos termos do Código dos Contratos Públicos, para a sede contratual de cada uma, identificadas no contrato.</w:t>
      </w:r>
    </w:p>
    <w:p w14:paraId="7578F489" w14:textId="77777777" w:rsidR="001F04CC" w:rsidRPr="002D2419" w:rsidRDefault="001F04CC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 xml:space="preserve">Qualquer alteração das informações de contacto constantes do contrato deve ser comunicada à outra parte. </w:t>
      </w:r>
    </w:p>
    <w:p w14:paraId="3C4A22D5" w14:textId="1B3F850A" w:rsidR="001F04CC" w:rsidRPr="002D2419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Cláusula 1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032710FC" w14:textId="77777777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Contagem dos Prazos</w:t>
      </w:r>
    </w:p>
    <w:p w14:paraId="0CC35197" w14:textId="77777777" w:rsidR="001F04CC" w:rsidRPr="002D2419" w:rsidRDefault="001F04CC" w:rsidP="001F04CC">
      <w:p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2419">
        <w:rPr>
          <w:rFonts w:asciiTheme="minorHAnsi" w:hAnsiTheme="minorHAnsi" w:cstheme="minorHAnsi"/>
          <w:sz w:val="24"/>
          <w:szCs w:val="24"/>
        </w:rPr>
        <w:t>Os prazos previstos no contrato que não tenham indicação específica consideram-se contínuos.</w:t>
      </w:r>
    </w:p>
    <w:p w14:paraId="3C1DD09F" w14:textId="123D5C6E" w:rsidR="001F04CC" w:rsidRDefault="001F04CC" w:rsidP="001F04C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lastRenderedPageBreak/>
        <w:t>Cláusula 1</w:t>
      </w:r>
      <w:r w:rsidR="00FC4F67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79DAB100" w14:textId="77777777" w:rsidR="003A25F1" w:rsidRPr="003A25F1" w:rsidRDefault="003A25F1" w:rsidP="003A25F1">
      <w:pPr>
        <w:pStyle w:val="Lista2"/>
        <w:spacing w:line="36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3A25F1">
        <w:rPr>
          <w:rFonts w:asciiTheme="minorHAnsi" w:hAnsiTheme="minorHAnsi" w:cstheme="minorHAnsi"/>
          <w:b/>
          <w:bCs/>
          <w:szCs w:val="24"/>
        </w:rPr>
        <w:t>Proteção de Dados Pessoais</w:t>
      </w:r>
    </w:p>
    <w:p w14:paraId="55C53EBD" w14:textId="77777777" w:rsidR="003A25F1" w:rsidRPr="003A25F1" w:rsidRDefault="003A25F1" w:rsidP="003A25F1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Em cumprimento do Regulamento Geral sobre a Proteção de Dados (RGPD - Regulamento (UE) 2016/679 de 27 de abril), o adjudicatário compromete-se a assegurar:</w:t>
      </w:r>
    </w:p>
    <w:p w14:paraId="0B04CEAD" w14:textId="77777777" w:rsidR="003A25F1" w:rsidRPr="003A25F1" w:rsidRDefault="003A25F1" w:rsidP="00E460BA">
      <w:pPr>
        <w:pStyle w:val="Default"/>
        <w:numPr>
          <w:ilvl w:val="1"/>
          <w:numId w:val="13"/>
        </w:numPr>
        <w:spacing w:line="360" w:lineRule="auto"/>
        <w:ind w:left="1134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A adoção de medidas técnicas e organizativas adequadas para garantir a confidencialidade, integridade, disponibilidade e resiliência dos dados pessoais tratados no âmbito da execução do contrato, conforme previsto no artigo 32.º do RGPD;</w:t>
      </w:r>
    </w:p>
    <w:p w14:paraId="5279798B" w14:textId="77777777" w:rsidR="003A25F1" w:rsidRPr="003A25F1" w:rsidRDefault="003A25F1" w:rsidP="00E460BA">
      <w:pPr>
        <w:pStyle w:val="Default"/>
        <w:numPr>
          <w:ilvl w:val="1"/>
          <w:numId w:val="13"/>
        </w:numPr>
        <w:spacing w:line="360" w:lineRule="auto"/>
        <w:ind w:left="1134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Que o tratamento de dados pessoais será limitado ao estritamente necessário para a execução das obrigações contratuais e apenas por pessoas devidamente autorizadas;</w:t>
      </w:r>
    </w:p>
    <w:p w14:paraId="1938BA44" w14:textId="77777777" w:rsidR="003A25F1" w:rsidRPr="003A25F1" w:rsidRDefault="003A25F1" w:rsidP="00E460BA">
      <w:pPr>
        <w:pStyle w:val="Default"/>
        <w:numPr>
          <w:ilvl w:val="1"/>
          <w:numId w:val="13"/>
        </w:numPr>
        <w:spacing w:line="360" w:lineRule="auto"/>
        <w:ind w:left="1134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A implementação de mecanismos eficazes para notificar a entidade adjudicante em caso de violação de dados pessoais, nos termos do artigo 33.º do RGPD;</w:t>
      </w:r>
    </w:p>
    <w:p w14:paraId="304E8457" w14:textId="77777777" w:rsidR="003A25F1" w:rsidRPr="003A25F1" w:rsidRDefault="003A25F1" w:rsidP="00E460BA">
      <w:pPr>
        <w:pStyle w:val="Default"/>
        <w:numPr>
          <w:ilvl w:val="1"/>
          <w:numId w:val="13"/>
        </w:numPr>
        <w:spacing w:line="360" w:lineRule="auto"/>
        <w:ind w:left="1134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A garantia dos direitos dos titulares dos dados, nomeadamente os direitos de acesso, retificação, apagamento, limitação, oposição e portabilidade, comprometendo-se ainda a prestar à Câmara Municipal toda a colaboração necessária para o cumprimento das suas obrigações enquanto responsável pelo tratamento;</w:t>
      </w:r>
    </w:p>
    <w:p w14:paraId="4F37DBF1" w14:textId="77777777" w:rsidR="003A25F1" w:rsidRPr="003A25F1" w:rsidRDefault="003A25F1" w:rsidP="00E460BA">
      <w:pPr>
        <w:pStyle w:val="Default"/>
        <w:numPr>
          <w:ilvl w:val="1"/>
          <w:numId w:val="13"/>
        </w:numPr>
        <w:spacing w:line="360" w:lineRule="auto"/>
        <w:ind w:left="1134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Que eventuais subcontratados cumpram integralmente os requisitos do RGPD, sendo o adjudicatário responsável por quaisquer violações resultantes do tratamento realizado pelos mesmos;</w:t>
      </w:r>
    </w:p>
    <w:p w14:paraId="2CFD7A54" w14:textId="77777777" w:rsidR="003A25F1" w:rsidRPr="003A25F1" w:rsidRDefault="003A25F1" w:rsidP="00E460BA">
      <w:pPr>
        <w:pStyle w:val="Default"/>
        <w:numPr>
          <w:ilvl w:val="1"/>
          <w:numId w:val="13"/>
        </w:numPr>
        <w:spacing w:line="360" w:lineRule="auto"/>
        <w:ind w:left="1134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Que as pessoas autorizadas a tratar os dados pessoais assumam um compromisso de confidencialidade, sendo proibida a utilização dos dados para finalidades não previstas no contrato.</w:t>
      </w:r>
    </w:p>
    <w:p w14:paraId="134AB0D3" w14:textId="77777777" w:rsidR="003A25F1" w:rsidRPr="003A25F1" w:rsidRDefault="003A25F1" w:rsidP="003A25F1">
      <w:pPr>
        <w:pStyle w:val="Default"/>
        <w:numPr>
          <w:ilvl w:val="0"/>
          <w:numId w:val="13"/>
        </w:numPr>
        <w:spacing w:line="360" w:lineRule="auto"/>
        <w:jc w:val="both"/>
        <w:rPr>
          <w:rFonts w:asciiTheme="minorHAnsi" w:eastAsia="Calibri" w:hAnsiTheme="minorHAnsi" w:cstheme="minorHAnsi"/>
          <w:color w:val="auto"/>
          <w:lang w:eastAsia="en-US"/>
        </w:rPr>
      </w:pPr>
      <w:r w:rsidRPr="003A25F1">
        <w:rPr>
          <w:rFonts w:asciiTheme="minorHAnsi" w:eastAsia="Calibri" w:hAnsiTheme="minorHAnsi" w:cstheme="minorHAnsi"/>
          <w:color w:val="auto"/>
          <w:lang w:eastAsia="en-US"/>
        </w:rPr>
        <w:t>O incumprimento desta cláusula por parte do adjudicatário poderá constituir fundamento para a resolução do contrato, sem prejuízo de eventual responsabilidade civil, administrativa ou penal.</w:t>
      </w:r>
    </w:p>
    <w:p w14:paraId="72FC4D7F" w14:textId="34E44F1D" w:rsidR="003A25F1" w:rsidRDefault="003A25F1" w:rsidP="003A25F1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Cláusula 1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2D2419">
        <w:rPr>
          <w:rFonts w:asciiTheme="minorHAnsi" w:hAnsiTheme="minorHAnsi" w:cstheme="minorHAnsi"/>
          <w:b/>
          <w:bCs/>
          <w:sz w:val="24"/>
          <w:szCs w:val="24"/>
        </w:rPr>
        <w:t>.ª</w:t>
      </w:r>
    </w:p>
    <w:p w14:paraId="5ED92829" w14:textId="77777777" w:rsidR="001F04CC" w:rsidRPr="002D2419" w:rsidRDefault="001F04CC" w:rsidP="001F04CC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2419">
        <w:rPr>
          <w:rFonts w:asciiTheme="minorHAnsi" w:hAnsiTheme="minorHAnsi" w:cstheme="minorHAnsi"/>
          <w:b/>
          <w:bCs/>
          <w:sz w:val="24"/>
          <w:szCs w:val="24"/>
        </w:rPr>
        <w:t>Legislação Aplicável</w:t>
      </w:r>
    </w:p>
    <w:p w14:paraId="4BE69798" w14:textId="77777777" w:rsidR="0075227D" w:rsidRPr="002D2419" w:rsidRDefault="001F04CC" w:rsidP="002D2419">
      <w:pPr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t-PT"/>
        </w:rPr>
      </w:pPr>
      <w:r w:rsidRPr="002D2419">
        <w:rPr>
          <w:rFonts w:asciiTheme="minorHAnsi" w:hAnsiTheme="minorHAnsi" w:cstheme="minorHAnsi"/>
          <w:sz w:val="24"/>
          <w:szCs w:val="24"/>
        </w:rPr>
        <w:lastRenderedPageBreak/>
        <w:t>Em todo o omisso no presente Caderno de Encargos, observar-se-á o disposto no Código dos Contratos Públicos, aprovado em anexo ao Decreto-Lei n.º 18/2008, de 29 de janeiro, na sua atual redação e restante legislação e regulamentação aplicável.</w:t>
      </w:r>
    </w:p>
    <w:sectPr w:rsidR="0075227D" w:rsidRPr="002D2419">
      <w:headerReference w:type="default" r:id="rId9"/>
      <w:footerReference w:type="even" r:id="rId10"/>
      <w:footerReference w:type="default" r:id="rId11"/>
      <w:pgSz w:w="11906" w:h="16838" w:code="278"/>
      <w:pgMar w:top="1134" w:right="1134" w:bottom="1418" w:left="1701" w:header="56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8D777" w14:textId="77777777" w:rsidR="00E41385" w:rsidRDefault="00E41385">
      <w:pPr>
        <w:spacing w:after="0" w:line="240" w:lineRule="auto"/>
      </w:pPr>
      <w:r>
        <w:separator/>
      </w:r>
    </w:p>
  </w:endnote>
  <w:endnote w:type="continuationSeparator" w:id="0">
    <w:p w14:paraId="4C709172" w14:textId="77777777" w:rsidR="00E41385" w:rsidRDefault="00E4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C87F8" w14:textId="77777777" w:rsidR="0075227D" w:rsidRDefault="009A4BD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28FCF3" w14:textId="77777777" w:rsidR="0075227D" w:rsidRDefault="0075227D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tulodoLivro"/>
        <w:rFonts w:ascii="Arial" w:hAnsi="Arial" w:cs="Arial"/>
        <w:b w:val="0"/>
      </w:rPr>
      <w:id w:val="4751988"/>
      <w:docPartObj>
        <w:docPartGallery w:val="Page Numbers (Bottom of Page)"/>
        <w:docPartUnique/>
      </w:docPartObj>
    </w:sdtPr>
    <w:sdtContent>
      <w:p w14:paraId="386573C5" w14:textId="77777777" w:rsidR="0075227D" w:rsidRDefault="009A4BDB">
        <w:pPr>
          <w:pStyle w:val="Rodap"/>
          <w:jc w:val="right"/>
          <w:rPr>
            <w:rStyle w:val="TtulodoLivro"/>
            <w:rFonts w:ascii="Arial" w:hAnsi="Arial" w:cs="Arial"/>
            <w:b w:val="0"/>
          </w:rPr>
        </w:pPr>
        <w:r>
          <w:rPr>
            <w:rStyle w:val="TtulodoLivro"/>
            <w:rFonts w:ascii="Arial" w:hAnsi="Arial" w:cs="Arial"/>
            <w:b w:val="0"/>
          </w:rPr>
          <w:t xml:space="preserve">Caderno de Encargos | </w:t>
        </w:r>
        <w:r>
          <w:rPr>
            <w:rStyle w:val="TtulodoLivro"/>
            <w:rFonts w:ascii="Arial" w:hAnsi="Arial" w:cs="Arial"/>
            <w:b w:val="0"/>
          </w:rPr>
          <w:fldChar w:fldCharType="begin"/>
        </w:r>
        <w:r>
          <w:rPr>
            <w:rStyle w:val="TtulodoLivro"/>
            <w:rFonts w:ascii="Arial" w:hAnsi="Arial" w:cs="Arial"/>
            <w:b w:val="0"/>
          </w:rPr>
          <w:instrText xml:space="preserve"> PAGE   \* MERGEFORMAT </w:instrText>
        </w:r>
        <w:r>
          <w:rPr>
            <w:rStyle w:val="TtulodoLivro"/>
            <w:rFonts w:ascii="Arial" w:hAnsi="Arial" w:cs="Arial"/>
            <w:b w:val="0"/>
          </w:rPr>
          <w:fldChar w:fldCharType="separate"/>
        </w:r>
        <w:r>
          <w:rPr>
            <w:rStyle w:val="TtulodoLivro"/>
            <w:rFonts w:ascii="Arial" w:hAnsi="Arial" w:cs="Arial"/>
            <w:b w:val="0"/>
            <w:noProof/>
          </w:rPr>
          <w:t>26</w:t>
        </w:r>
        <w:r>
          <w:rPr>
            <w:rStyle w:val="TtulodoLivro"/>
            <w:rFonts w:ascii="Arial" w:hAnsi="Arial" w:cs="Arial"/>
            <w:b w:val="0"/>
          </w:rPr>
          <w:fldChar w:fldCharType="end"/>
        </w:r>
      </w:p>
    </w:sdtContent>
  </w:sdt>
  <w:p w14:paraId="27170D9B" w14:textId="77777777" w:rsidR="0075227D" w:rsidRDefault="0075227D">
    <w:pPr>
      <w:pStyle w:val="Rodap"/>
      <w:tabs>
        <w:tab w:val="right" w:pos="8470"/>
      </w:tabs>
      <w:spacing w:line="360" w:lineRule="auto"/>
      <w:ind w:right="360"/>
      <w:rPr>
        <w:rStyle w:val="TtulodoLivro"/>
        <w:rFonts w:ascii="Arial" w:hAnsi="Arial" w:cs="Arial"/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FB49" w14:textId="77777777" w:rsidR="00E41385" w:rsidRDefault="00E41385">
      <w:pPr>
        <w:spacing w:after="0" w:line="240" w:lineRule="auto"/>
      </w:pPr>
      <w:r>
        <w:separator/>
      </w:r>
    </w:p>
  </w:footnote>
  <w:footnote w:type="continuationSeparator" w:id="0">
    <w:p w14:paraId="380A64FD" w14:textId="77777777" w:rsidR="00E41385" w:rsidRDefault="00E4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F05D" w14:textId="77777777" w:rsidR="0075227D" w:rsidRDefault="009A4BDB">
    <w:pPr>
      <w:pStyle w:val="Cabealho"/>
      <w:jc w:val="center"/>
      <w:rPr>
        <w:b/>
        <w:sz w:val="28"/>
      </w:rPr>
    </w:pPr>
    <w:r>
      <w:rPr>
        <w:b/>
        <w:noProof/>
        <w:sz w:val="28"/>
        <w:lang w:eastAsia="pt-PT"/>
      </w:rPr>
      <w:drawing>
        <wp:anchor distT="0" distB="0" distL="114300" distR="114300" simplePos="0" relativeHeight="251661312" behindDoc="0" locked="0" layoutInCell="1" allowOverlap="1" wp14:anchorId="35012A1D" wp14:editId="73AE8883">
          <wp:simplePos x="0" y="0"/>
          <wp:positionH relativeFrom="column">
            <wp:posOffset>-383540</wp:posOffset>
          </wp:positionH>
          <wp:positionV relativeFrom="paragraph">
            <wp:posOffset>-30480</wp:posOffset>
          </wp:positionV>
          <wp:extent cx="712470" cy="795655"/>
          <wp:effectExtent l="1905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ordes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413035E" w14:textId="77777777" w:rsidR="0075227D" w:rsidRDefault="009A4BDB">
    <w:pPr>
      <w:pStyle w:val="Cabealho"/>
      <w:jc w:val="center"/>
      <w:rPr>
        <w:b/>
        <w:sz w:val="28"/>
      </w:rPr>
    </w:pPr>
    <w:r>
      <w:rPr>
        <w:b/>
        <w:sz w:val="28"/>
      </w:rPr>
      <w:t>Município de Nordeste (Açores)</w:t>
    </w:r>
  </w:p>
  <w:p w14:paraId="5874EFFC" w14:textId="77777777" w:rsidR="0075227D" w:rsidRDefault="0075227D">
    <w:pPr>
      <w:pStyle w:val="Cabealho"/>
      <w:jc w:val="center"/>
      <w:rPr>
        <w:sz w:val="4"/>
      </w:rPr>
    </w:pPr>
  </w:p>
  <w:p w14:paraId="1927714A" w14:textId="62142F94" w:rsidR="0075227D" w:rsidRDefault="00E460BA">
    <w:pPr>
      <w:pStyle w:val="Cabealho"/>
      <w:jc w:val="right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B96611" wp14:editId="38A66241">
              <wp:simplePos x="0" y="0"/>
              <wp:positionH relativeFrom="column">
                <wp:posOffset>434340</wp:posOffset>
              </wp:positionH>
              <wp:positionV relativeFrom="paragraph">
                <wp:posOffset>79375</wp:posOffset>
              </wp:positionV>
              <wp:extent cx="5176520" cy="0"/>
              <wp:effectExtent l="9525" t="8890" r="14605" b="10160"/>
              <wp:wrapNone/>
              <wp:docPr id="152235569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765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464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4.2pt;margin-top:6.25pt;width:407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" strokecolor="#548dd4 [1951]" strokeweight="1pt"/>
          </w:pict>
        </mc:Fallback>
      </mc:AlternateContent>
    </w:r>
    <w:r w:rsidR="009A4BDB">
      <w:rPr>
        <w:sz w:val="18"/>
      </w:rPr>
      <w:tab/>
    </w:r>
  </w:p>
  <w:p w14:paraId="1931D616" w14:textId="77777777" w:rsidR="0075227D" w:rsidRDefault="0075227D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7A3"/>
    <w:multiLevelType w:val="hybridMultilevel"/>
    <w:tmpl w:val="1576B6A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D08E1"/>
    <w:multiLevelType w:val="multilevel"/>
    <w:tmpl w:val="6A0A6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5157F95"/>
    <w:multiLevelType w:val="hybridMultilevel"/>
    <w:tmpl w:val="556C6FD4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7">
      <w:start w:val="1"/>
      <w:numFmt w:val="lowerLetter"/>
      <w:lvlText w:val="%2)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5269F6"/>
    <w:multiLevelType w:val="hybridMultilevel"/>
    <w:tmpl w:val="5F74774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F68E7"/>
    <w:multiLevelType w:val="hybridMultilevel"/>
    <w:tmpl w:val="E6A61F3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601C0"/>
    <w:multiLevelType w:val="multilevel"/>
    <w:tmpl w:val="91D89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E07FF"/>
    <w:multiLevelType w:val="hybridMultilevel"/>
    <w:tmpl w:val="A3A2168A"/>
    <w:lvl w:ilvl="0" w:tplc="070460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E6910"/>
    <w:multiLevelType w:val="multilevel"/>
    <w:tmpl w:val="6A0A6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784302"/>
    <w:multiLevelType w:val="hybridMultilevel"/>
    <w:tmpl w:val="56EC35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CE3FFD"/>
    <w:multiLevelType w:val="hybridMultilevel"/>
    <w:tmpl w:val="C6C03170"/>
    <w:lvl w:ilvl="0" w:tplc="E18EA09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B2145B"/>
    <w:multiLevelType w:val="multilevel"/>
    <w:tmpl w:val="CDC6C474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Ttulo2"/>
      <w:lvlText w:val="%1.%2"/>
      <w:lvlJc w:val="left"/>
      <w:pPr>
        <w:ind w:left="100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pStyle w:val="Ttulo4"/>
      <w:lvlText w:val="%4)"/>
      <w:lvlJc w:val="left"/>
      <w:pPr>
        <w:ind w:left="1573" w:hanging="864"/>
      </w:pPr>
      <w:rPr>
        <w:rFonts w:hint="default"/>
        <w:i w:val="0"/>
        <w:sz w:val="20"/>
        <w:szCs w:val="22"/>
      </w:rPr>
    </w:lvl>
    <w:lvl w:ilvl="4">
      <w:start w:val="1"/>
      <w:numFmt w:val="lowerRoman"/>
      <w:pStyle w:val="Ttulo5"/>
      <w:lvlText w:val="%5."/>
      <w:lvlJc w:val="righ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7A847512"/>
    <w:multiLevelType w:val="hybridMultilevel"/>
    <w:tmpl w:val="073A9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506A72"/>
    <w:multiLevelType w:val="hybridMultilevel"/>
    <w:tmpl w:val="D3DC5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5325963">
    <w:abstractNumId w:val="10"/>
  </w:num>
  <w:num w:numId="2" w16cid:durableId="1298342022">
    <w:abstractNumId w:val="0"/>
  </w:num>
  <w:num w:numId="3" w16cid:durableId="16850773">
    <w:abstractNumId w:val="4"/>
  </w:num>
  <w:num w:numId="4" w16cid:durableId="847674848">
    <w:abstractNumId w:val="8"/>
  </w:num>
  <w:num w:numId="5" w16cid:durableId="1583027470">
    <w:abstractNumId w:val="3"/>
  </w:num>
  <w:num w:numId="6" w16cid:durableId="381254348">
    <w:abstractNumId w:val="12"/>
  </w:num>
  <w:num w:numId="7" w16cid:durableId="1566067870">
    <w:abstractNumId w:val="1"/>
  </w:num>
  <w:num w:numId="8" w16cid:durableId="124781943">
    <w:abstractNumId w:val="9"/>
  </w:num>
  <w:num w:numId="9" w16cid:durableId="1722825818">
    <w:abstractNumId w:val="5"/>
  </w:num>
  <w:num w:numId="10" w16cid:durableId="198978728">
    <w:abstractNumId w:val="11"/>
  </w:num>
  <w:num w:numId="11" w16cid:durableId="1651448185">
    <w:abstractNumId w:val="6"/>
  </w:num>
  <w:num w:numId="12" w16cid:durableId="2038894313">
    <w:abstractNumId w:val="7"/>
  </w:num>
  <w:num w:numId="13" w16cid:durableId="187064596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7D"/>
    <w:rsid w:val="000855B9"/>
    <w:rsid w:val="00195FBB"/>
    <w:rsid w:val="001F04CC"/>
    <w:rsid w:val="002D0F80"/>
    <w:rsid w:val="002D2419"/>
    <w:rsid w:val="002D307E"/>
    <w:rsid w:val="00301F47"/>
    <w:rsid w:val="003A25F1"/>
    <w:rsid w:val="00403F4A"/>
    <w:rsid w:val="004554C4"/>
    <w:rsid w:val="005B382C"/>
    <w:rsid w:val="00634448"/>
    <w:rsid w:val="006E0B9F"/>
    <w:rsid w:val="00733937"/>
    <w:rsid w:val="0075227D"/>
    <w:rsid w:val="00853F03"/>
    <w:rsid w:val="00897ABE"/>
    <w:rsid w:val="008A5AB3"/>
    <w:rsid w:val="008D7B23"/>
    <w:rsid w:val="009362F8"/>
    <w:rsid w:val="009968E3"/>
    <w:rsid w:val="009A4BDB"/>
    <w:rsid w:val="00A14CBE"/>
    <w:rsid w:val="00A970B3"/>
    <w:rsid w:val="00AA317A"/>
    <w:rsid w:val="00BC2D9D"/>
    <w:rsid w:val="00BE5594"/>
    <w:rsid w:val="00D8308D"/>
    <w:rsid w:val="00DC1073"/>
    <w:rsid w:val="00DF315E"/>
    <w:rsid w:val="00E137B8"/>
    <w:rsid w:val="00E202E0"/>
    <w:rsid w:val="00E41385"/>
    <w:rsid w:val="00E460BA"/>
    <w:rsid w:val="00E87D1D"/>
    <w:rsid w:val="00EB6AA8"/>
    <w:rsid w:val="00FC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BD68B"/>
  <w15:docId w15:val="{323C2D0F-95DB-4657-BC64-8352AE38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keepLines/>
      <w:numPr>
        <w:numId w:val="1"/>
      </w:numPr>
      <w:spacing w:before="480" w:after="0"/>
      <w:ind w:left="709" w:hanging="709"/>
      <w:jc w:val="both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arter"/>
    <w:uiPriority w:val="9"/>
    <w:qFormat/>
    <w:pPr>
      <w:keepNext/>
      <w:keepLines/>
      <w:numPr>
        <w:ilvl w:val="1"/>
        <w:numId w:val="1"/>
      </w:numPr>
      <w:spacing w:before="200" w:after="0"/>
      <w:ind w:left="709" w:hanging="709"/>
      <w:jc w:val="both"/>
      <w:outlineLvl w:val="1"/>
    </w:pPr>
    <w:rPr>
      <w:rFonts w:ascii="Arial" w:eastAsia="Times New Roman" w:hAnsi="Arial" w:cs="Arial"/>
      <w:b/>
      <w:bCs/>
    </w:rPr>
  </w:style>
  <w:style w:type="paragraph" w:styleId="Ttulo3">
    <w:name w:val="heading 3"/>
    <w:basedOn w:val="Normal"/>
    <w:next w:val="Normal"/>
    <w:link w:val="Ttulo3Carter"/>
    <w:uiPriority w:val="9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arter"/>
    <w:uiPriority w:val="9"/>
    <w:qFormat/>
    <w:pPr>
      <w:keepNext/>
      <w:keepLines/>
      <w:numPr>
        <w:ilvl w:val="3"/>
        <w:numId w:val="1"/>
      </w:numPr>
      <w:spacing w:before="120" w:after="0"/>
      <w:ind w:left="993" w:hanging="284"/>
      <w:jc w:val="both"/>
      <w:outlineLvl w:val="3"/>
    </w:pPr>
    <w:rPr>
      <w:rFonts w:ascii="Arial" w:eastAsia="Times New Roman" w:hAnsi="Arial" w:cs="Arial"/>
      <w:bCs/>
      <w:iCs/>
      <w:sz w:val="20"/>
      <w:szCs w:val="20"/>
    </w:rPr>
  </w:style>
  <w:style w:type="paragraph" w:styleId="Ttulo5">
    <w:name w:val="heading 5"/>
    <w:basedOn w:val="Normal"/>
    <w:next w:val="Normal"/>
    <w:link w:val="Ttulo5Carter"/>
    <w:uiPriority w:val="9"/>
    <w:qFormat/>
    <w:pPr>
      <w:keepNext/>
      <w:keepLines/>
      <w:numPr>
        <w:ilvl w:val="4"/>
        <w:numId w:val="1"/>
      </w:numPr>
      <w:spacing w:before="200" w:after="0"/>
      <w:ind w:left="851" w:hanging="142"/>
      <w:jc w:val="both"/>
      <w:outlineLvl w:val="4"/>
    </w:pPr>
    <w:rPr>
      <w:rFonts w:ascii="Arial" w:eastAsia="Times New Roman" w:hAnsi="Arial" w:cs="Arial"/>
      <w:sz w:val="20"/>
      <w:szCs w:val="20"/>
    </w:rPr>
  </w:style>
  <w:style w:type="paragraph" w:styleId="Ttulo6">
    <w:name w:val="heading 6"/>
    <w:basedOn w:val="Normal"/>
    <w:next w:val="Normal"/>
    <w:link w:val="Ttulo6Carter"/>
    <w:uiPriority w:val="9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ter"/>
    <w:uiPriority w:val="9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arter"/>
    <w:uiPriority w:val="9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pPr>
      <w:ind w:left="720"/>
      <w:contextualSpacing/>
    </w:pPr>
  </w:style>
  <w:style w:type="character" w:customStyle="1" w:styleId="Ttulo1Carter">
    <w:name w:val="Título 1 Caráter"/>
    <w:link w:val="Ttulo1"/>
    <w:uiPriority w:val="9"/>
    <w:rPr>
      <w:rFonts w:ascii="Arial" w:eastAsia="Times New Roman" w:hAnsi="Arial" w:cs="Arial"/>
      <w:b/>
      <w:bCs/>
      <w:sz w:val="24"/>
      <w:szCs w:val="24"/>
      <w:lang w:eastAsia="en-US"/>
    </w:rPr>
  </w:style>
  <w:style w:type="character" w:customStyle="1" w:styleId="Ttulo2Carter">
    <w:name w:val="Título 2 Caráter"/>
    <w:link w:val="Ttulo2"/>
    <w:uiPriority w:val="9"/>
    <w:rPr>
      <w:rFonts w:ascii="Arial" w:eastAsia="Times New Roman" w:hAnsi="Arial" w:cs="Arial"/>
      <w:b/>
      <w:bCs/>
      <w:sz w:val="22"/>
      <w:szCs w:val="22"/>
      <w:lang w:eastAsia="en-US"/>
    </w:rPr>
  </w:style>
  <w:style w:type="character" w:customStyle="1" w:styleId="Ttulo3Carter">
    <w:name w:val="Título 3 Caráter"/>
    <w:link w:val="Ttulo3"/>
    <w:uiPriority w:val="9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Ttulo4Carter">
    <w:name w:val="Título 4 Caráter"/>
    <w:link w:val="Ttulo4"/>
    <w:uiPriority w:val="9"/>
    <w:rPr>
      <w:rFonts w:ascii="Arial" w:eastAsia="Times New Roman" w:hAnsi="Arial" w:cs="Arial"/>
      <w:bCs/>
      <w:iCs/>
      <w:lang w:eastAsia="en-US"/>
    </w:rPr>
  </w:style>
  <w:style w:type="character" w:customStyle="1" w:styleId="Ttulo5Carter">
    <w:name w:val="Título 5 Caráter"/>
    <w:link w:val="Ttulo5"/>
    <w:uiPriority w:val="9"/>
    <w:rPr>
      <w:rFonts w:ascii="Arial" w:eastAsia="Times New Roman" w:hAnsi="Arial" w:cs="Arial"/>
      <w:lang w:eastAsia="en-US"/>
    </w:rPr>
  </w:style>
  <w:style w:type="character" w:customStyle="1" w:styleId="Ttulo6Carter">
    <w:name w:val="Título 6 Caráter"/>
    <w:link w:val="Ttulo6"/>
    <w:uiPriority w:val="9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Ttulo7Carter">
    <w:name w:val="Título 7 Caráter"/>
    <w:link w:val="Ttulo7"/>
    <w:uiPriority w:val="9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Ttulo8Carter">
    <w:name w:val="Título 8 Caráter"/>
    <w:link w:val="Ttulo8"/>
    <w:uiPriority w:val="9"/>
    <w:rPr>
      <w:rFonts w:ascii="Cambria" w:eastAsia="Times New Roman" w:hAnsi="Cambria"/>
      <w:color w:val="404040"/>
      <w:lang w:eastAsia="en-US"/>
    </w:rPr>
  </w:style>
  <w:style w:type="character" w:customStyle="1" w:styleId="Ttulo9Carter">
    <w:name w:val="Título 9 Caráter"/>
    <w:link w:val="Ttulo9"/>
    <w:uiPriority w:val="9"/>
    <w:rPr>
      <w:rFonts w:ascii="Cambria" w:eastAsia="Times New Roman" w:hAnsi="Cambria"/>
      <w:i/>
      <w:iCs/>
      <w:color w:val="404040"/>
      <w:lang w:eastAsia="en-US"/>
    </w:r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paragraph" w:styleId="Rodap">
    <w:name w:val="footer"/>
    <w:basedOn w:val="Normal"/>
    <w:link w:val="Rodap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</w:style>
  <w:style w:type="paragraph" w:styleId="ndice1">
    <w:name w:val="toc 1"/>
    <w:basedOn w:val="Normal"/>
    <w:next w:val="Normal"/>
    <w:autoRedefine/>
    <w:uiPriority w:val="39"/>
    <w:unhideWhenUsed/>
  </w:style>
  <w:style w:type="paragraph" w:styleId="ndice2">
    <w:name w:val="toc 2"/>
    <w:basedOn w:val="Normal"/>
    <w:next w:val="Normal"/>
    <w:autoRedefine/>
    <w:uiPriority w:val="39"/>
    <w:unhideWhenUsed/>
    <w:pPr>
      <w:tabs>
        <w:tab w:val="left" w:pos="880"/>
        <w:tab w:val="right" w:leader="dot" w:pos="9344"/>
      </w:tabs>
      <w:ind w:left="220"/>
    </w:pPr>
    <w:rPr>
      <w:rFonts w:ascii="Arial" w:hAnsi="Arial" w:cs="Arial"/>
      <w:noProof/>
    </w:rPr>
  </w:style>
  <w:style w:type="character" w:styleId="Hiperligao">
    <w:name w:val="Hyperlink"/>
    <w:unhideWhenUsed/>
    <w:rPr>
      <w:color w:val="0000FF"/>
      <w:u w:val="single"/>
    </w:rPr>
  </w:style>
  <w:style w:type="paragraph" w:styleId="ndice3">
    <w:name w:val="toc 3"/>
    <w:basedOn w:val="Normal"/>
    <w:next w:val="Normal"/>
    <w:autoRedefine/>
    <w:uiPriority w:val="39"/>
    <w:unhideWhenUsed/>
    <w:pPr>
      <w:ind w:left="440"/>
    </w:pPr>
  </w:style>
  <w:style w:type="paragraph" w:styleId="ndice4">
    <w:name w:val="toc 4"/>
    <w:basedOn w:val="Normal"/>
    <w:next w:val="Normal"/>
    <w:autoRedefine/>
    <w:uiPriority w:val="39"/>
    <w:unhideWhenUsed/>
    <w:pPr>
      <w:spacing w:after="100"/>
      <w:ind w:left="660"/>
    </w:pPr>
    <w:rPr>
      <w:rFonts w:eastAsia="Times New Roman"/>
      <w:lang w:eastAsia="pt-PT"/>
    </w:rPr>
  </w:style>
  <w:style w:type="paragraph" w:styleId="ndice5">
    <w:name w:val="toc 5"/>
    <w:basedOn w:val="Normal"/>
    <w:next w:val="Normal"/>
    <w:autoRedefine/>
    <w:uiPriority w:val="39"/>
    <w:unhideWhenUsed/>
    <w:pPr>
      <w:spacing w:after="100"/>
      <w:ind w:left="880"/>
    </w:pPr>
    <w:rPr>
      <w:rFonts w:eastAsia="Times New Roman"/>
      <w:lang w:eastAsia="pt-PT"/>
    </w:rPr>
  </w:style>
  <w:style w:type="paragraph" w:styleId="ndice6">
    <w:name w:val="toc 6"/>
    <w:basedOn w:val="Normal"/>
    <w:next w:val="Normal"/>
    <w:autoRedefine/>
    <w:uiPriority w:val="39"/>
    <w:unhideWhenUsed/>
    <w:pPr>
      <w:spacing w:after="100"/>
      <w:ind w:left="1100"/>
    </w:pPr>
    <w:rPr>
      <w:rFonts w:eastAsia="Times New Roman"/>
      <w:lang w:eastAsia="pt-PT"/>
    </w:rPr>
  </w:style>
  <w:style w:type="paragraph" w:styleId="ndice7">
    <w:name w:val="toc 7"/>
    <w:basedOn w:val="Normal"/>
    <w:next w:val="Normal"/>
    <w:autoRedefine/>
    <w:uiPriority w:val="39"/>
    <w:unhideWhenUsed/>
    <w:pPr>
      <w:spacing w:after="100"/>
      <w:ind w:left="1320"/>
    </w:pPr>
    <w:rPr>
      <w:rFonts w:eastAsia="Times New Roman"/>
      <w:lang w:eastAsia="pt-PT"/>
    </w:rPr>
  </w:style>
  <w:style w:type="paragraph" w:styleId="ndice8">
    <w:name w:val="toc 8"/>
    <w:basedOn w:val="Normal"/>
    <w:next w:val="Normal"/>
    <w:autoRedefine/>
    <w:uiPriority w:val="39"/>
    <w:unhideWhenUsed/>
    <w:pPr>
      <w:spacing w:after="100"/>
      <w:ind w:left="1540"/>
    </w:pPr>
    <w:rPr>
      <w:rFonts w:eastAsia="Times New Roman"/>
      <w:lang w:eastAsia="pt-PT"/>
    </w:rPr>
  </w:style>
  <w:style w:type="paragraph" w:styleId="ndice9">
    <w:name w:val="toc 9"/>
    <w:basedOn w:val="Normal"/>
    <w:next w:val="Normal"/>
    <w:autoRedefine/>
    <w:uiPriority w:val="39"/>
    <w:unhideWhenUsed/>
    <w:pPr>
      <w:spacing w:after="100"/>
      <w:ind w:left="1760"/>
    </w:pPr>
    <w:rPr>
      <w:rFonts w:eastAsia="Times New Roman"/>
      <w:lang w:eastAsia="pt-PT"/>
    </w:rPr>
  </w:style>
  <w:style w:type="paragraph" w:styleId="Cabealhodondice">
    <w:name w:val="TOC Heading"/>
    <w:basedOn w:val="Ttulo1"/>
    <w:next w:val="Normal"/>
    <w:uiPriority w:val="39"/>
    <w:qFormat/>
    <w:pPr>
      <w:numPr>
        <w:numId w:val="0"/>
      </w:numPr>
      <w:jc w:val="left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styleId="Ttulo">
    <w:name w:val="Title"/>
    <w:basedOn w:val="Normal"/>
    <w:next w:val="Subttulo"/>
    <w:qFormat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Subttulo">
    <w:name w:val="Subtitle"/>
    <w:basedOn w:val="Normal"/>
    <w:link w:val="SubttuloCarter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Nmerodepgina">
    <w:name w:val="page number"/>
    <w:basedOn w:val="Tipodeletrapredefinidodopargrafo"/>
  </w:style>
  <w:style w:type="character" w:customStyle="1" w:styleId="SubttuloCarter">
    <w:name w:val="Subtítulo Caráter"/>
    <w:basedOn w:val="Tipodeletrapredefinidodopargrafo"/>
    <w:link w:val="Subttulo"/>
    <w:rPr>
      <w:rFonts w:ascii="Arial" w:hAnsi="Arial" w:cs="Arial"/>
      <w:sz w:val="24"/>
      <w:szCs w:val="24"/>
      <w:lang w:eastAsia="en-US"/>
    </w:rPr>
  </w:style>
  <w:style w:type="character" w:styleId="TtulodoLivro">
    <w:name w:val="Book Title"/>
    <w:basedOn w:val="Tipodeletrapredefinidodopargrafo"/>
    <w:uiPriority w:val="33"/>
    <w:qFormat/>
    <w:rPr>
      <w:b/>
      <w:bCs/>
      <w:smallCaps/>
      <w:spacing w:val="5"/>
    </w:rPr>
  </w:style>
  <w:style w:type="paragraph" w:styleId="SemEspaamento">
    <w:name w:val="No Spacing"/>
    <w:link w:val="SemEspaamentoCarter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Pr>
      <w:rFonts w:ascii="Tahoma" w:hAnsi="Tahoma" w:cs="Tahoma"/>
      <w:sz w:val="16"/>
      <w:szCs w:val="16"/>
      <w:lang w:eastAsia="en-US"/>
    </w:rPr>
  </w:style>
  <w:style w:type="character" w:customStyle="1" w:styleId="PargrafodaListaCarter">
    <w:name w:val="Parágrafo da Lista Caráter"/>
    <w:link w:val="PargrafodaLista"/>
    <w:uiPriority w:val="34"/>
    <w:rPr>
      <w:sz w:val="22"/>
      <w:szCs w:val="22"/>
      <w:lang w:eastAsia="en-US"/>
    </w:rPr>
  </w:style>
  <w:style w:type="character" w:styleId="nfase">
    <w:name w:val="Emphasis"/>
    <w:qFormat/>
    <w:rPr>
      <w:i/>
      <w:iCs/>
    </w:rPr>
  </w:style>
  <w:style w:type="paragraph" w:styleId="NormalWeb">
    <w:name w:val="Normal (Web)"/>
    <w:basedOn w:val="Normal"/>
    <w:uiPriority w:val="99"/>
    <w:unhideWhenUsed/>
    <w:rsid w:val="00AA317A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</w:rPr>
  </w:style>
  <w:style w:type="paragraph" w:customStyle="1" w:styleId="Default">
    <w:name w:val="Default"/>
    <w:rsid w:val="003A25F1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Lista2">
    <w:name w:val="List 2"/>
    <w:basedOn w:val="Normal"/>
    <w:uiPriority w:val="99"/>
    <w:semiHidden/>
    <w:unhideWhenUsed/>
    <w:rsid w:val="003A25F1"/>
    <w:pPr>
      <w:spacing w:after="0" w:line="360" w:lineRule="atLeast"/>
      <w:ind w:left="566" w:hanging="283"/>
      <w:jc w:val="both"/>
    </w:pPr>
    <w:rPr>
      <w:rFonts w:ascii="Book Antiqua" w:eastAsia="Times New Roman" w:hAnsi="Book Antiqu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747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3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9A9AC76ED84AB3A2FA628134492B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4C23F7-8B03-492C-AE4D-0E83A13D2C10}"/>
      </w:docPartPr>
      <w:docPartBody>
        <w:p w:rsidR="006768A4" w:rsidRDefault="009D2F9F">
          <w:pPr>
            <w:pStyle w:val="DD9A9AC76ED84AB3A2FA628134492B6F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[Título do documento]</w:t>
          </w:r>
        </w:p>
      </w:docPartBody>
    </w:docPart>
    <w:docPart>
      <w:docPartPr>
        <w:name w:val="F8485EF82FFB48AFBC6EE43107DA1E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12A700-DC59-4FB8-B7F7-EC5D31E825AB}"/>
      </w:docPartPr>
      <w:docPartBody>
        <w:p w:rsidR="006768A4" w:rsidRDefault="009D2F9F">
          <w:pPr>
            <w:pStyle w:val="F8485EF82FFB48AFBC6EE43107DA1ED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[Escrever o subtítulo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8A4"/>
    <w:rsid w:val="00024D8D"/>
    <w:rsid w:val="000B5235"/>
    <w:rsid w:val="00204A0C"/>
    <w:rsid w:val="002D0F80"/>
    <w:rsid w:val="00673B3E"/>
    <w:rsid w:val="006768A4"/>
    <w:rsid w:val="00733937"/>
    <w:rsid w:val="00750043"/>
    <w:rsid w:val="00757609"/>
    <w:rsid w:val="007A242A"/>
    <w:rsid w:val="009968E3"/>
    <w:rsid w:val="009D2F9F"/>
    <w:rsid w:val="00A21E93"/>
    <w:rsid w:val="00AE0A68"/>
    <w:rsid w:val="00BC2D9D"/>
    <w:rsid w:val="00BE5594"/>
    <w:rsid w:val="00C041EE"/>
    <w:rsid w:val="00E137B8"/>
    <w:rsid w:val="00E202E0"/>
    <w:rsid w:val="00EF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D9A9AC76ED84AB3A2FA628134492B6F">
    <w:name w:val="DD9A9AC76ED84AB3A2FA628134492B6F"/>
  </w:style>
  <w:style w:type="paragraph" w:customStyle="1" w:styleId="F8485EF82FFB48AFBC6EE43107DA1EDF">
    <w:name w:val="F8485EF82FFB48AFBC6EE43107DA1E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CC27A-946E-4724-B789-9147519A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1621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Câmara Municipal de Nordeste</vt:lpstr>
    </vt:vector>
  </TitlesOfParts>
  <Company>HP</Company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Câmara Municipal de Nordeste</dc:title>
  <dc:subject>CADERNO DE ENCARGOS</dc:subject>
  <dc:creator>AAfonso</dc:creator>
  <cp:lastModifiedBy>Maria de Deus Franco</cp:lastModifiedBy>
  <cp:revision>4</cp:revision>
  <cp:lastPrinted>2023-05-31T08:56:00Z</cp:lastPrinted>
  <dcterms:created xsi:type="dcterms:W3CDTF">2026-10-01T18:54:00Z</dcterms:created>
  <dcterms:modified xsi:type="dcterms:W3CDTF">2026-10-02T09:36:00Z</dcterms:modified>
</cp:coreProperties>
</file>